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38DAF" w14:textId="463F98A9" w:rsidR="00794EAD" w:rsidRDefault="00794EAD" w:rsidP="00794EAD">
      <w:pPr>
        <w:pStyle w:val="Title"/>
        <w:ind w:right="-500" w:hanging="3413"/>
        <w:jc w:val="center"/>
      </w:pPr>
      <w:r>
        <w:t>Lower Hatchie</w:t>
      </w:r>
      <w:r w:rsidR="00440E16">
        <w:t xml:space="preserve"> National Wildlife</w:t>
      </w:r>
      <w:r>
        <w:t xml:space="preserve"> </w:t>
      </w:r>
      <w:r w:rsidR="00440E16">
        <w:t>Refuge</w:t>
      </w:r>
    </w:p>
    <w:p w14:paraId="1909D40E" w14:textId="28D38FF4" w:rsidR="00873F5D" w:rsidRDefault="00323533" w:rsidP="00440E16">
      <w:pPr>
        <w:pStyle w:val="Title"/>
        <w:ind w:right="40" w:hanging="3053"/>
        <w:jc w:val="center"/>
      </w:pPr>
      <w:r>
        <w:t>Noell</w:t>
      </w:r>
      <w:r w:rsidR="00440E16">
        <w:rPr>
          <w:spacing w:val="-2"/>
        </w:rPr>
        <w:t xml:space="preserve"> </w:t>
      </w:r>
      <w:r w:rsidR="00440E16">
        <w:t>Unit</w:t>
      </w:r>
    </w:p>
    <w:p w14:paraId="2918D715" w14:textId="77777777" w:rsidR="00873F5D" w:rsidRDefault="00873F5D">
      <w:pPr>
        <w:pStyle w:val="BodyText"/>
        <w:spacing w:before="8"/>
        <w:ind w:left="0"/>
        <w:rPr>
          <w:b/>
          <w:sz w:val="37"/>
        </w:rPr>
      </w:pPr>
    </w:p>
    <w:p w14:paraId="39000ABC" w14:textId="345DEA10" w:rsidR="00873F5D" w:rsidRDefault="00794EAD">
      <w:pPr>
        <w:pStyle w:val="BodyText"/>
        <w:spacing w:before="1" w:line="276" w:lineRule="auto"/>
        <w:ind w:left="119" w:right="103"/>
      </w:pPr>
      <w:r>
        <w:t>Lower Hatchie</w:t>
      </w:r>
      <w:r w:rsidR="00440E16">
        <w:t xml:space="preserve"> National Wildlife Refuge (NWR) </w:t>
      </w:r>
      <w:proofErr w:type="gramStart"/>
      <w:r w:rsidR="00440E16">
        <w:t>is located in</w:t>
      </w:r>
      <w:proofErr w:type="gramEnd"/>
      <w:r w:rsidR="00440E16">
        <w:t xml:space="preserve"> </w:t>
      </w:r>
      <w:r>
        <w:t>Lauderdale</w:t>
      </w:r>
      <w:r w:rsidR="00440E16">
        <w:t xml:space="preserve"> and </w:t>
      </w:r>
      <w:proofErr w:type="gramStart"/>
      <w:r>
        <w:t xml:space="preserve">Tipton </w:t>
      </w:r>
      <w:r w:rsidR="00440E16">
        <w:rPr>
          <w:spacing w:val="-52"/>
        </w:rPr>
        <w:t xml:space="preserve"> </w:t>
      </w:r>
      <w:r w:rsidR="00440E16">
        <w:t>Count</w:t>
      </w:r>
      <w:r>
        <w:t>ies</w:t>
      </w:r>
      <w:proofErr w:type="gramEnd"/>
      <w:r w:rsidR="00440E16">
        <w:t xml:space="preserve"> and is bisected by the </w:t>
      </w:r>
      <w:r>
        <w:t>Hatchie</w:t>
      </w:r>
      <w:r w:rsidR="00440E16">
        <w:t xml:space="preserve"> River.</w:t>
      </w:r>
      <w:r w:rsidR="00440E16">
        <w:rPr>
          <w:spacing w:val="1"/>
        </w:rPr>
        <w:t xml:space="preserve"> </w:t>
      </w:r>
      <w:r>
        <w:t>Lower Hatchie</w:t>
      </w:r>
      <w:r w:rsidR="00440E16">
        <w:t xml:space="preserve"> NWR’s primary purpose is to </w:t>
      </w:r>
      <w:proofErr w:type="gramStart"/>
      <w:r w:rsidR="00440E16">
        <w:t>provide</w:t>
      </w:r>
      <w:r>
        <w:t xml:space="preserve"> </w:t>
      </w:r>
      <w:r w:rsidR="00440E16">
        <w:rPr>
          <w:spacing w:val="-52"/>
        </w:rPr>
        <w:t xml:space="preserve"> </w:t>
      </w:r>
      <w:r w:rsidR="00440E16">
        <w:t>high</w:t>
      </w:r>
      <w:proofErr w:type="gramEnd"/>
      <w:r w:rsidR="00440E16">
        <w:t>-quality habitat for migrating and wintering waterfowl.</w:t>
      </w:r>
      <w:r w:rsidR="00440E16">
        <w:rPr>
          <w:spacing w:val="1"/>
        </w:rPr>
        <w:t xml:space="preserve"> </w:t>
      </w:r>
      <w:r w:rsidR="00440E16">
        <w:t>Waterfowl use the refuge for</w:t>
      </w:r>
      <w:r w:rsidR="00440E16">
        <w:rPr>
          <w:spacing w:val="1"/>
        </w:rPr>
        <w:t xml:space="preserve"> </w:t>
      </w:r>
      <w:r w:rsidR="00440E16">
        <w:t>feeding, loafing, pair bonding, and roosting and peak winter waterfowl numbers often exceed</w:t>
      </w:r>
      <w:r w:rsidR="00440E16">
        <w:rPr>
          <w:spacing w:val="1"/>
        </w:rPr>
        <w:t xml:space="preserve"> </w:t>
      </w:r>
      <w:r w:rsidR="00440E16">
        <w:t>1</w:t>
      </w:r>
      <w:r>
        <w:t>0</w:t>
      </w:r>
      <w:r w:rsidR="00440E16">
        <w:t>0,000 ducks and geese.</w:t>
      </w:r>
      <w:r w:rsidR="00440E16">
        <w:rPr>
          <w:spacing w:val="1"/>
        </w:rPr>
        <w:t xml:space="preserve"> </w:t>
      </w:r>
      <w:r w:rsidR="00440E16">
        <w:t>Agricultural crops are rich in carbohydrates and help waterfowl</w:t>
      </w:r>
      <w:r w:rsidR="00440E16">
        <w:rPr>
          <w:spacing w:val="1"/>
        </w:rPr>
        <w:t xml:space="preserve"> </w:t>
      </w:r>
      <w:r w:rsidR="00440E16">
        <w:t>maintain body temperature during cold weather periods and replenish energy used during</w:t>
      </w:r>
      <w:r w:rsidR="00440E16">
        <w:rPr>
          <w:spacing w:val="1"/>
        </w:rPr>
        <w:t xml:space="preserve"> </w:t>
      </w:r>
      <w:r w:rsidR="00440E16">
        <w:t xml:space="preserve">migration. Each year </w:t>
      </w:r>
      <w:r>
        <w:t>Lower Hatchie</w:t>
      </w:r>
      <w:r w:rsidR="00440E16">
        <w:t xml:space="preserve"> NWR provides high-energy “hot” foods in the form of suitable</w:t>
      </w:r>
      <w:r w:rsidR="00440E16">
        <w:rPr>
          <w:spacing w:val="1"/>
        </w:rPr>
        <w:t xml:space="preserve"> </w:t>
      </w:r>
      <w:r w:rsidR="00440E16">
        <w:t>crops</w:t>
      </w:r>
      <w:r w:rsidR="00440E16">
        <w:rPr>
          <w:spacing w:val="-1"/>
        </w:rPr>
        <w:t xml:space="preserve"> </w:t>
      </w:r>
      <w:r w:rsidR="00440E16">
        <w:t>to</w:t>
      </w:r>
      <w:r w:rsidR="00440E16">
        <w:rPr>
          <w:spacing w:val="1"/>
        </w:rPr>
        <w:t xml:space="preserve"> </w:t>
      </w:r>
      <w:r w:rsidR="00440E16">
        <w:t>support</w:t>
      </w:r>
      <w:r w:rsidR="00440E16">
        <w:rPr>
          <w:spacing w:val="-1"/>
        </w:rPr>
        <w:t xml:space="preserve"> </w:t>
      </w:r>
      <w:r w:rsidR="00440E16">
        <w:t>waterfowl in</w:t>
      </w:r>
      <w:r w:rsidR="00440E16">
        <w:rPr>
          <w:spacing w:val="2"/>
        </w:rPr>
        <w:t xml:space="preserve"> </w:t>
      </w:r>
      <w:r w:rsidR="00440E16">
        <w:t>the</w:t>
      </w:r>
      <w:r w:rsidR="00440E16">
        <w:rPr>
          <w:spacing w:val="-2"/>
        </w:rPr>
        <w:t xml:space="preserve"> </w:t>
      </w:r>
      <w:r>
        <w:t>Mississippi Alluvial Valley</w:t>
      </w:r>
      <w:r w:rsidR="00440E16">
        <w:t>.</w:t>
      </w:r>
    </w:p>
    <w:p w14:paraId="51A89A6C" w14:textId="7FE523E3" w:rsidR="00873F5D" w:rsidRDefault="00440E16">
      <w:pPr>
        <w:pStyle w:val="BodyText"/>
        <w:spacing w:before="199" w:line="276" w:lineRule="auto"/>
        <w:ind w:right="315"/>
      </w:pPr>
      <w:r>
        <w:t xml:space="preserve">The </w:t>
      </w:r>
      <w:r w:rsidR="00323533">
        <w:t>Noell</w:t>
      </w:r>
      <w:r w:rsidR="00AB618D">
        <w:t xml:space="preserve"> </w:t>
      </w:r>
      <w:r>
        <w:t xml:space="preserve">Unit of </w:t>
      </w:r>
      <w:r w:rsidR="00794EAD">
        <w:t>Lower Hatchie</w:t>
      </w:r>
      <w:r>
        <w:t xml:space="preserve"> NWR located near </w:t>
      </w:r>
      <w:r w:rsidR="00794EAD">
        <w:t>Henning</w:t>
      </w:r>
      <w:r>
        <w:t>, TN contai</w:t>
      </w:r>
      <w:r w:rsidR="00794EAD">
        <w:t xml:space="preserve">ns </w:t>
      </w:r>
      <w:r>
        <w:t xml:space="preserve">approximately </w:t>
      </w:r>
      <w:r w:rsidR="00323533">
        <w:t xml:space="preserve">125 </w:t>
      </w:r>
      <w:r>
        <w:t>acres of farmable land.</w:t>
      </w:r>
      <w:r>
        <w:rPr>
          <w:spacing w:val="1"/>
        </w:rPr>
        <w:t xml:space="preserve"> </w:t>
      </w:r>
      <w:r>
        <w:t>Producers may farm this unit on a split cost share</w:t>
      </w:r>
      <w:r>
        <w:rPr>
          <w:spacing w:val="1"/>
        </w:rPr>
        <w:t xml:space="preserve"> </w:t>
      </w:r>
      <w:r>
        <w:t>with a</w:t>
      </w:r>
      <w:r>
        <w:rPr>
          <w:spacing w:val="-3"/>
        </w:rPr>
        <w:t xml:space="preserve"> </w:t>
      </w:r>
      <w:r>
        <w:t>percentage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acreage</w:t>
      </w:r>
      <w:r>
        <w:rPr>
          <w:spacing w:val="-1"/>
        </w:rPr>
        <w:t xml:space="preserve"> </w:t>
      </w:r>
      <w:r>
        <w:t>planted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wildlife and</w:t>
      </w:r>
      <w:r>
        <w:rPr>
          <w:spacing w:val="-2"/>
        </w:rPr>
        <w:t xml:space="preserve"> </w:t>
      </w:r>
      <w:r>
        <w:t>left standing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 refuge share.</w:t>
      </w:r>
    </w:p>
    <w:p w14:paraId="4C39100E" w14:textId="08FEFCA7" w:rsidR="00873F5D" w:rsidRDefault="00440E16">
      <w:pPr>
        <w:pStyle w:val="BodyText"/>
        <w:spacing w:line="276" w:lineRule="auto"/>
        <w:ind w:right="150"/>
      </w:pPr>
      <w:r>
        <w:t>Crops including corn, soybeans, wheat, and millet are allowed.</w:t>
      </w:r>
      <w:r>
        <w:rPr>
          <w:spacing w:val="1"/>
        </w:rPr>
        <w:t xml:space="preserve"> </w:t>
      </w:r>
      <w:r>
        <w:t>Currently, GMO crop seed is</w:t>
      </w:r>
      <w:r>
        <w:rPr>
          <w:spacing w:val="1"/>
        </w:rPr>
        <w:t xml:space="preserve"> </w:t>
      </w:r>
      <w:r>
        <w:t>allowed, however, neonicotinoid seed treatments are not allowed. Cooperative farming</w:t>
      </w:r>
      <w:r>
        <w:rPr>
          <w:spacing w:val="1"/>
        </w:rPr>
        <w:t xml:space="preserve"> </w:t>
      </w:r>
      <w:r>
        <w:t xml:space="preserve">agreements may be renewed annually and </w:t>
      </w:r>
      <w:proofErr w:type="gramStart"/>
      <w:r>
        <w:t>extended up</w:t>
      </w:r>
      <w:proofErr w:type="gramEnd"/>
      <w:r>
        <w:t xml:space="preserve"> to five years. </w:t>
      </w:r>
    </w:p>
    <w:p w14:paraId="392F3BF4" w14:textId="641BDCB3" w:rsidR="00255982" w:rsidRDefault="00255982">
      <w:pPr>
        <w:pStyle w:val="BodyText"/>
        <w:spacing w:line="276" w:lineRule="auto"/>
        <w:ind w:right="150"/>
      </w:pPr>
    </w:p>
    <w:p w14:paraId="1BEEAFCC" w14:textId="6BB57A1E" w:rsidR="00255982" w:rsidRDefault="00255982">
      <w:pPr>
        <w:pStyle w:val="BodyText"/>
        <w:spacing w:line="276" w:lineRule="auto"/>
        <w:ind w:right="150"/>
      </w:pPr>
      <w:r>
        <w:t xml:space="preserve">Applications are available at Chickasaw National Wildlife Refuge headquarters or via email upon request.  Completed applications may be emailed to </w:t>
      </w:r>
      <w:hyperlink r:id="rId4" w:history="1">
        <w:r>
          <w:rPr>
            <w:rStyle w:val="Hyperlink"/>
          </w:rPr>
          <w:t>Xavier_Cathey@fws.gov</w:t>
        </w:r>
      </w:hyperlink>
      <w:r>
        <w:t xml:space="preserve"> or submitted by mail or hand delivery to the refuge headquarters at 1505 Sand Bluff Rd., Ripley, TN 38063.  </w:t>
      </w:r>
      <w:r w:rsidR="00652D17">
        <w:t xml:space="preserve">Applications must be received by </w:t>
      </w:r>
      <w:r w:rsidR="00A64747">
        <w:t>February 20</w:t>
      </w:r>
      <w:r w:rsidR="00652D17">
        <w:t>, 202</w:t>
      </w:r>
      <w:r w:rsidR="00A64747">
        <w:t>6</w:t>
      </w:r>
      <w:r w:rsidR="00652D17">
        <w:t xml:space="preserve">.  </w:t>
      </w:r>
      <w:r>
        <w:t xml:space="preserve">The cooperator will be selected through an open and competitive process.  All applicants will be notified by </w:t>
      </w:r>
      <w:r w:rsidR="00A64747">
        <w:t>March 2, 2026</w:t>
      </w:r>
      <w:r>
        <w:t xml:space="preserve">.  For more details, please contact Xavier Cathey at 731-635-7621 or </w:t>
      </w:r>
      <w:hyperlink r:id="rId5" w:history="1">
        <w:r w:rsidRPr="00E57019">
          <w:rPr>
            <w:rStyle w:val="Hyperlink"/>
          </w:rPr>
          <w:t>xavier_cathey@fws.gov</w:t>
        </w:r>
      </w:hyperlink>
      <w:r>
        <w:t xml:space="preserve">. </w:t>
      </w:r>
    </w:p>
    <w:sectPr w:rsidR="00255982">
      <w:type w:val="continuous"/>
      <w:pgSz w:w="12240" w:h="15840"/>
      <w:pgMar w:top="1440" w:right="13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F5D"/>
    <w:rsid w:val="00255982"/>
    <w:rsid w:val="0027081F"/>
    <w:rsid w:val="00323533"/>
    <w:rsid w:val="00440E16"/>
    <w:rsid w:val="005D3B4D"/>
    <w:rsid w:val="00652D17"/>
    <w:rsid w:val="00794EAD"/>
    <w:rsid w:val="00873F5D"/>
    <w:rsid w:val="00A64747"/>
    <w:rsid w:val="00AB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F872E"/>
  <w15:docId w15:val="{7AC8F2E2-BF2E-42E0-B086-27AF5C2A9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3593" w:right="1809" w:hanging="1746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5598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59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xavier_cathey@fws.gov" TargetMode="External"/><Relationship Id="rId4" Type="http://schemas.openxmlformats.org/officeDocument/2006/relationships/hyperlink" Target="mailto:Xavier_Cathey@fw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1600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Eastridge, Ricky</dc:creator>
  <cp:lastModifiedBy>McGowan, Joseph</cp:lastModifiedBy>
  <cp:revision>6</cp:revision>
  <dcterms:created xsi:type="dcterms:W3CDTF">2021-11-01T19:45:00Z</dcterms:created>
  <dcterms:modified xsi:type="dcterms:W3CDTF">2026-02-05T18:43:00Z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2021-10-29T00:00:00Z</vt:filetime>
  </property>
</Properties>
</file>