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Arial" w:cs="Arial" w:eastAsia="Arial" w:hAnsi="Arial"/>
        </w:rPr>
      </w:pPr>
      <w:r w:rsidDel="00000000" w:rsidR="00000000" w:rsidRPr="00000000">
        <w:rPr>
          <w:rFonts w:ascii="Arial" w:cs="Arial" w:eastAsia="Arial" w:hAnsi="Arial"/>
          <w:rtl w:val="0"/>
        </w:rPr>
        <w:t xml:space="preserve">CART’s Grassland Community of Practice: Supporting Conservation and Restoration of Semi-Arid Grasslands </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In November 2019, the Conservation and Adaptation Resources Toolbox (CART) hosted a day-long workshop focused on Grassland Restoration and Management in the Southwest. This workshop focused on increasing understanding of the primary threats to grassland ecosystems and identifying the support that grassland managers need to address them effectively.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One of the results of this workshop was the launch of CART’s Grassland Community of Practice in March 2021 to support continued peer-to-peer knowledge sharing around priority grassland topics. Focused on semi-arid grasslands, the Grassland Community of Practice used case studies and webinars about grassland restoration and conservation to bring together managers from across the Southwest to learn from each other and improve management outcomes.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This section captures key needs, challenges, and opportunities articulated by hundreds of grasslands managers, conservation practitioners and researchers across the Southwest during the 2019 workshop and as well as Community of Practice webinars and panel and group discussions. </w:t>
      </w:r>
    </w:p>
    <w:p w:rsidR="00000000" w:rsidDel="00000000" w:rsidP="00000000" w:rsidRDefault="00000000" w:rsidRPr="00000000" w14:paraId="00000005">
      <w:pPr>
        <w:pStyle w:val="Heading2"/>
        <w:rPr>
          <w:rFonts w:ascii="Arial" w:cs="Arial" w:eastAsia="Arial" w:hAnsi="Arial"/>
        </w:rPr>
      </w:pPr>
      <w:r w:rsidDel="00000000" w:rsidR="00000000" w:rsidRPr="00000000">
        <w:rPr>
          <w:rFonts w:ascii="Arial" w:cs="Arial" w:eastAsia="Arial" w:hAnsi="Arial"/>
          <w:rtl w:val="0"/>
        </w:rPr>
        <w:t xml:space="preserve">CART’s Grassland Research and Management Workshop </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Grassland Research &amp; Management workshop responded to needs voiced by land managers for research support addressing specific grassland management and restoration challenges. Before the meeting, organizers asked workshop registrants to prioritize discussion topics. Based on responses, the workshop focused on five topics:  </w:t>
      </w:r>
    </w:p>
    <w:p w:rsidR="00000000" w:rsidDel="00000000" w:rsidP="00000000" w:rsidRDefault="00000000" w:rsidRPr="00000000" w14:paraId="00000007">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Management of woody plants and non-native grasses </w:t>
      </w:r>
    </w:p>
    <w:p w:rsidR="00000000" w:rsidDel="00000000" w:rsidP="00000000" w:rsidRDefault="00000000" w:rsidRPr="00000000" w14:paraId="00000008">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Enhancing working lands </w:t>
      </w:r>
    </w:p>
    <w:p w:rsidR="00000000" w:rsidDel="00000000" w:rsidP="00000000" w:rsidRDefault="00000000" w:rsidRPr="00000000" w14:paraId="00000009">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Soil health and erosion </w:t>
      </w:r>
    </w:p>
    <w:p w:rsidR="00000000" w:rsidDel="00000000" w:rsidP="00000000" w:rsidRDefault="00000000" w:rsidRPr="00000000" w14:paraId="0000000A">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Landscape fragmentation and grassland connectivity </w:t>
      </w:r>
    </w:p>
    <w:p w:rsidR="00000000" w:rsidDel="00000000" w:rsidP="00000000" w:rsidRDefault="00000000" w:rsidRPr="00000000" w14:paraId="0000000B">
      <w:pPr>
        <w:numPr>
          <w:ilvl w:val="0"/>
          <w:numId w:val="5"/>
        </w:numPr>
        <w:spacing w:after="240" w:lineRule="auto"/>
        <w:ind w:left="720" w:hanging="360"/>
        <w:rPr>
          <w:rFonts w:ascii="Arial" w:cs="Arial" w:eastAsia="Arial" w:hAnsi="Arial"/>
        </w:rPr>
      </w:pPr>
      <w:r w:rsidDel="00000000" w:rsidR="00000000" w:rsidRPr="00000000">
        <w:rPr>
          <w:rFonts w:ascii="Arial" w:cs="Arial" w:eastAsia="Arial" w:hAnsi="Arial"/>
          <w:rtl w:val="0"/>
        </w:rPr>
        <w:t xml:space="preserve">Grassland restoration for wildlife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The workshop attracted over 80 participants from 35 organizations, agencies, tribes, universities, and private ranches. </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Result: </w:t>
      </w:r>
      <w:r w:rsidDel="00000000" w:rsidR="00000000" w:rsidRPr="00000000">
        <w:rPr>
          <w:rFonts w:ascii="Arial" w:cs="Arial" w:eastAsia="Arial" w:hAnsi="Arial"/>
          <w:rtl w:val="0"/>
        </w:rPr>
        <w:t xml:space="preserve">A clear articulation of the principal challenges grassland managers face to implementing restoration and conservation, their most pressing research and management needs, and opportunities for collaborative projects to address these challenges.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Participants were most interested in research about specific restoration techniques, especially those related to the management of woody shrub species and non-native grasses. Many participants also noted the need for long-term monitoring of vegetation, wildlife, and restoration project outcomes to learn about the long-term effects of grassland restoration and management techniques. The need for collaborative research was noted by many agency scientists and private landowners, particularly research that can help prioritize the location and type of restoration projects on a landscape scale. To facilitate focused discussion around priority topics, the workshop included two breakout sessions. </w:t>
      </w:r>
    </w:p>
    <w:p w:rsidR="00000000" w:rsidDel="00000000" w:rsidP="00000000" w:rsidRDefault="00000000" w:rsidRPr="00000000" w14:paraId="0000000F">
      <w:pPr>
        <w:pStyle w:val="Heading3"/>
        <w:rPr>
          <w:rFonts w:ascii="Arial" w:cs="Arial" w:eastAsia="Arial" w:hAnsi="Arial"/>
        </w:rPr>
      </w:pPr>
      <w:r w:rsidDel="00000000" w:rsidR="00000000" w:rsidRPr="00000000">
        <w:rPr>
          <w:rFonts w:ascii="Arial" w:cs="Arial" w:eastAsia="Arial" w:hAnsi="Arial"/>
          <w:rtl w:val="0"/>
        </w:rPr>
        <w:t xml:space="preserve">Breakout Session I </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During the first breakout session, participants discussed the following topics: fire, wildlife, vegetation management, working lands, and soils. Associated goals, challenges and opportunities are outlined for each breakout session below. </w:t>
      </w:r>
    </w:p>
    <w:tbl>
      <w:tblPr>
        <w:tblStyle w:val="Table1"/>
        <w:tblW w:w="93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5"/>
        <w:gridCol w:w="2475"/>
        <w:gridCol w:w="2355"/>
        <w:gridCol w:w="2355"/>
        <w:tblGridChange w:id="0">
          <w:tblGrid>
            <w:gridCol w:w="2115"/>
            <w:gridCol w:w="2475"/>
            <w:gridCol w:w="2355"/>
            <w:gridCol w:w="235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b w:val="1"/>
                <w:rtl w:val="0"/>
              </w:rPr>
              <w:t xml:space="preserve">Goals</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rtl w:val="0"/>
              </w:rPr>
              <w:t xml:space="preserve">Challenges</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b w:val="1"/>
                <w:rtl w:val="0"/>
              </w:rPr>
              <w:t xml:space="preserve">Opportunities</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rtl w:val="0"/>
              </w:rPr>
              <w:t xml:space="preserve">Fire as a grassland management tool: </w:t>
            </w:r>
            <w:r w:rsidDel="00000000" w:rsidR="00000000" w:rsidRPr="00000000">
              <w:rPr>
                <w:rFonts w:ascii="Arial" w:cs="Arial" w:eastAsia="Arial" w:hAnsi="Arial"/>
                <w:rtl w:val="0"/>
              </w:rPr>
              <w:t xml:space="preserve">maintaining vegetation structure and preventing shrub encroachment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Cross-boundary collaboration to foster landscape-scale fire management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Navigating regulations, partner buy-in, and liability concerns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Large-scale models like the USFS firescape project and Yavapai country fire initiative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Restoring grasslands for wildlife: </w:t>
            </w:r>
            <w:r w:rsidDel="00000000" w:rsidR="00000000" w:rsidRPr="00000000">
              <w:rPr>
                <w:rFonts w:ascii="Arial" w:cs="Arial" w:eastAsia="Arial" w:hAnsi="Arial"/>
                <w:rtl w:val="0"/>
              </w:rPr>
              <w:t xml:space="preserve">supporting birds, pronghorn, and other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Understanding wildlife population dynamics and increasing the permeability of landscape for movement of multiple species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Long-term monitoring, broad cooperations, continuity of funding and involvement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Connecting to volunteers, schools, and engaging youth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rtl w:val="0"/>
              </w:rPr>
              <w:t xml:space="preserve">Vegetation management: </w:t>
            </w:r>
            <w:r w:rsidDel="00000000" w:rsidR="00000000" w:rsidRPr="00000000">
              <w:rPr>
                <w:rFonts w:ascii="Arial" w:cs="Arial" w:eastAsia="Arial" w:hAnsi="Arial"/>
                <w:rtl w:val="0"/>
              </w:rPr>
              <w:t xml:space="preserve">combating woody plant encroachment and non-native grasses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Prioritizing areas for restoration, early detection, and effective, location-appropriate actions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Long-term success with lack of monitoring, funding for re-treatment, lack of political support, and changing climate conditions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Increasing efficiency of partnerships by linking funding sources, researchers, land managers, and knowledge gaps in applied projects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b w:val="1"/>
                <w:rtl w:val="0"/>
              </w:rPr>
              <w:t xml:space="preserve">Enhancing working lands: </w:t>
            </w:r>
            <w:r w:rsidDel="00000000" w:rsidR="00000000" w:rsidRPr="00000000">
              <w:rPr>
                <w:rFonts w:ascii="Arial" w:cs="Arial" w:eastAsia="Arial" w:hAnsi="Arial"/>
                <w:rtl w:val="0"/>
              </w:rPr>
              <w:t xml:space="preserve">meeting multiple management goals and preventing fragmentation  </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Developing long-term management and monitoring plans that reduce landscape fragmentation and woody plant encroachment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Lack of time and money, difficulty with sustaining partnerships with key agencies and navigating regulations, climate change and invasive species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Obtaining funding for long-term cross boundary management, planning, and implementation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rtl w:val="0"/>
              </w:rPr>
              <w:t xml:space="preserve">Soil health and erosion: </w:t>
            </w:r>
            <w:r w:rsidDel="00000000" w:rsidR="00000000" w:rsidRPr="00000000">
              <w:rPr>
                <w:rFonts w:ascii="Arial" w:cs="Arial" w:eastAsia="Arial" w:hAnsi="Arial"/>
                <w:rtl w:val="0"/>
              </w:rPr>
              <w:t xml:space="preserve">reducing/reversing erosion and increasing soil health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Preventing erosion and implementing effective restoration techniques for watershed health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Lack of incentives and funding for soil conservation (no carbon credit markets and high soil C variability), fragile soils and harsh climate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Communicating research needs to researchers and translating science to managers. Facilitating ongoing collaboration. </w:t>
            </w:r>
          </w:p>
        </w:tc>
      </w:tr>
    </w:tbl>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color w:val="0f4761"/>
          <w:sz w:val="28"/>
          <w:szCs w:val="28"/>
          <w:rtl w:val="0"/>
        </w:rPr>
        <w:t xml:space="preserve">Breakout Session II </w:t>
      </w: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During the second breakout session, participants discussed the following topics: landscape fragmentation, soil health and erosion, and management of problematic plants. This session was solution oriented and focusing on sharing lessons learned, examples of successful projects, and details of successful management techniques. </w:t>
      </w:r>
    </w:p>
    <w:tbl>
      <w:tblPr>
        <w:tblStyle w:val="Table2"/>
        <w:tblW w:w="933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85"/>
        <w:gridCol w:w="6645"/>
        <w:tblGridChange w:id="0">
          <w:tblGrid>
            <w:gridCol w:w="2685"/>
            <w:gridCol w:w="664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rtl w:val="0"/>
              </w:rPr>
              <w:t xml:space="preserve">Landscape Fragmentation</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rtl w:val="0"/>
              </w:rPr>
              <w:t xml:space="preserve">Areas of Importance</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Assessing where future development is planned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Data about animal movement to prioritize locations for restoring connectivity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Successful use of volunteers  </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Coordinating with local planners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Forest Legacy and land swaps  </w:t>
            </w:r>
          </w:p>
        </w:tc>
      </w:tr>
    </w:tbl>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 </w:t>
      </w:r>
    </w:p>
    <w:tbl>
      <w:tblPr>
        <w:tblStyle w:val="Table3"/>
        <w:tblW w:w="933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85"/>
        <w:gridCol w:w="6645"/>
        <w:tblGridChange w:id="0">
          <w:tblGrid>
            <w:gridCol w:w="2685"/>
            <w:gridCol w:w="664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rtl w:val="0"/>
              </w:rPr>
              <w:t xml:space="preserve">Soil Health and Erosion</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b w:val="1"/>
                <w:rtl w:val="0"/>
              </w:rPr>
              <w:t xml:space="preserve">Areas of Importance</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Assessing soil conditions before implementing restoration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How to reduce erosion in uplands using seeding and keyline plowing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How to reduce erosion from roads  </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How to restore eroded washes with berms, plugs, brush weirs, and check dams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Assessing soil conditions before implementing restoration </w:t>
            </w:r>
          </w:p>
        </w:tc>
      </w:tr>
    </w:tbl>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bl>
      <w:tblPr>
        <w:tblStyle w:val="Table4"/>
        <w:tblW w:w="933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85"/>
        <w:gridCol w:w="6645"/>
        <w:tblGridChange w:id="0">
          <w:tblGrid>
            <w:gridCol w:w="2685"/>
            <w:gridCol w:w="664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rtl w:val="0"/>
              </w:rPr>
              <w:t xml:space="preserve">Management of Problematic Plants</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b w:val="1"/>
                <w:rtl w:val="0"/>
              </w:rPr>
              <w:t xml:space="preserve">Areas of Importance</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Where mechanical, cultural, and chemical treatments are most effective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How to mix and apply different chemicals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How to combine mechanical, cultural and chemical methods of woody plant removal for greatest success </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Identifying when certain techniques are not economically viable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Where mechanical, cultural, and chemical treatments are most effective  </w:t>
            </w:r>
          </w:p>
        </w:tc>
      </w:tr>
    </w:tbl>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color w:val="0f4761"/>
          <w:sz w:val="28"/>
          <w:szCs w:val="28"/>
          <w:rtl w:val="0"/>
        </w:rPr>
        <w:t xml:space="preserve">Community of Practice Webinars and Panel Discussions </w:t>
      </w: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CART coordinators used webinars and panel discussions as an opportunity to continue discussion on topics that were identified as high priority to participants of the Grassland Community of Practice. Hosting regular webinars on a wide variety of topics helped maintain momentum and interest of participants from a wide geography with diverse interests. Recording webinars allowed increased viewership and producing </w:t>
      </w:r>
      <w:hyperlink r:id="rId7">
        <w:r w:rsidDel="00000000" w:rsidR="00000000" w:rsidRPr="00000000">
          <w:rPr>
            <w:rFonts w:ascii="Arial" w:cs="Arial" w:eastAsia="Arial" w:hAnsi="Arial"/>
            <w:color w:val="467886"/>
            <w:u w:val="single"/>
            <w:rtl w:val="0"/>
          </w:rPr>
          <w:t xml:space="preserve">post-webinar summaries</w:t>
        </w:r>
      </w:hyperlink>
      <w:r w:rsidDel="00000000" w:rsidR="00000000" w:rsidRPr="00000000">
        <w:rPr>
          <w:rFonts w:ascii="Arial" w:cs="Arial" w:eastAsia="Arial" w:hAnsi="Arial"/>
          <w:rtl w:val="0"/>
        </w:rPr>
        <w:t xml:space="preserve"> facilitated sharing of resources and information from post-webinar discussion. The webinar summaries also captured key research needs, policy barriers, and opportunities for collaboration, captured below: </w:t>
      </w:r>
    </w:p>
    <w:tbl>
      <w:tblPr>
        <w:tblStyle w:val="Table5"/>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30"/>
        <w:gridCol w:w="4620"/>
        <w:gridCol w:w="2595"/>
        <w:tblGridChange w:id="0">
          <w:tblGrid>
            <w:gridCol w:w="2130"/>
            <w:gridCol w:w="4620"/>
            <w:gridCol w:w="2595"/>
          </w:tblGrid>
        </w:tblGridChange>
      </w:tblGrid>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b w:val="1"/>
                <w:rtl w:val="0"/>
              </w:rPr>
              <w:t xml:space="preserve">Event Title</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d9e2f3" w:val="clear"/>
            <w:vAlign w:val="cente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w:t>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i w:val="1"/>
                <w:rtl w:val="0"/>
              </w:rPr>
              <w:t xml:space="preserve">Understanding Piñon-Juniper Encroachment and Pinyon Jays for Grassland Management</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May 5th, 2023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b w:val="1"/>
                <w:rtl w:val="0"/>
              </w:rPr>
              <w:t xml:space="preserve">Event Summary</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The event included presentations from Tara Bishop and Scott Somershoe followed by a panel discussion with Tara and Scott as well as Valerie Foster, Steve Cassady, John Boone, and Edwin Juarez. Tara discussed tools her team is building for fire management in fire-prone Pinyon-Juniper landscapes using Ecological Site Groups, monitoring data and machine learning. Scott discussed the the Pinyon Jay Working Group and will discuss the group’s Pinyon Jay Conservation Strategy, survey protocols, and a forthcoming predictive occurrence model among other products. </w:t>
            </w:r>
          </w:p>
        </w:tc>
      </w:tr>
      <w:tr>
        <w:trPr>
          <w:cantSplit w:val="0"/>
          <w:trHeight w:val="450" w:hRule="atLeast"/>
          <w:tblHeader w:val="0"/>
        </w:trPr>
        <w:tc>
          <w:tcPr>
            <w:gridSpan w:val="3"/>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b w:val="1"/>
                <w:rtl w:val="0"/>
              </w:rPr>
              <w:t xml:space="preserve">Research Questions, Management Challenges, and Opportunities Identified</w:t>
            </w:r>
            <w:r w:rsidDel="00000000" w:rsidR="00000000" w:rsidRPr="00000000">
              <w:rPr>
                <w:rFonts w:ascii="Arial" w:cs="Arial" w:eastAsia="Arial" w:hAnsi="Arial"/>
                <w:rtl w:val="0"/>
              </w:rPr>
              <w:t xml:space="preserve">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b w:val="1"/>
                <w:rtl w:val="0"/>
              </w:rPr>
              <w:t xml:space="preserve">Research Needs</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What can managers do to help enhance habitat for Pinyon Jays in the face of changes like large-scale Pinyon die-off driven by drought?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b w:val="1"/>
                <w:rtl w:val="0"/>
              </w:rPr>
              <w:t xml:space="preserve">Research Needs</w:t>
            </w:r>
            <w:r w:rsidDel="00000000" w:rsidR="00000000" w:rsidRPr="00000000">
              <w:rPr>
                <w:rFonts w:ascii="Arial" w:cs="Arial" w:eastAsia="Arial" w:hAnsi="Arial"/>
                <w:rtl w:val="0"/>
              </w:rPr>
              <w:t xml:space="preserve"> </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What does restoration in Pinyon-Juniper woodland itself look like to help meet habitat needs of multiple species?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rtl w:val="0"/>
              </w:rPr>
              <w:t xml:space="preserve">Research Needs</w:t>
            </w: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What are the available funds to make the changes we are seeking to make in Pinyon-Juniper ecosystems (including grasslands and woodlands), and what are the priorities those funds linked to, e.g. fuel reduction, pronghorn habitat improvement, etc.?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b w:val="1"/>
                <w:rtl w:val="0"/>
              </w:rPr>
              <w:t xml:space="preserve">Research Needs</w:t>
            </w:r>
            <w:r w:rsidDel="00000000" w:rsidR="00000000" w:rsidRPr="00000000">
              <w:rPr>
                <w:rFonts w:ascii="Arial" w:cs="Arial" w:eastAsia="Arial" w:hAnsi="Arial"/>
                <w:rtl w:val="0"/>
              </w:rPr>
              <w:t xml:space="preserve"> </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What is the role of the mycorrhizal community in the transitions of Pinyon-Juniper ecosystems between various ecological states?   </w:t>
            </w:r>
          </w:p>
        </w:tc>
      </w:tr>
    </w:tbl>
    <w:p w:rsidR="00000000" w:rsidDel="00000000" w:rsidP="00000000" w:rsidRDefault="00000000" w:rsidRPr="00000000" w14:paraId="0000007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tbl>
      <w:tblPr>
        <w:tblStyle w:val="Table6"/>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30"/>
        <w:gridCol w:w="4620"/>
        <w:gridCol w:w="2610"/>
        <w:tblGridChange w:id="0">
          <w:tblGrid>
            <w:gridCol w:w="2130"/>
            <w:gridCol w:w="4620"/>
            <w:gridCol w:w="2610"/>
          </w:tblGrid>
        </w:tblGridChange>
      </w:tblGrid>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b w:val="1"/>
                <w:rtl w:val="0"/>
              </w:rPr>
              <w:t xml:space="preserve">Event Title</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d9e2f3" w:val="clear"/>
            <w:vAlign w:val="cente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w:t>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i w:val="1"/>
                <w:rtl w:val="0"/>
              </w:rPr>
              <w:t xml:space="preserve">Rock Erosion Control Structures to Improve Perennial and Ephemeral Riparian Habitat</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May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2022 </w:t>
            </w:r>
          </w:p>
        </w:tc>
      </w:tr>
      <w:tr>
        <w:trPr>
          <w:cantSplit w:val="0"/>
          <w:trHeight w:val="189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b w:val="1"/>
                <w:rtl w:val="0"/>
              </w:rPr>
              <w:t xml:space="preserve">Event Summary</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Presenters Laura Norman and Tess Wagner provide an overview of previous and current research about Natural Infrastructure in Dryland Streams (NIDS) that include many different types of erosion control structures from small scale one-rock dams, to medium sized check dams or beaver dams, and larger gabions as part of the USGS Aridlands Water Harvesting Study. Additionally, presenters provide examples of erosion control structures projects from the Borderland Restoration Network.  </w:t>
            </w:r>
          </w:p>
        </w:tc>
      </w:tr>
      <w:tr>
        <w:trPr>
          <w:cantSplit w:val="0"/>
          <w:trHeight w:val="450" w:hRule="atLeast"/>
          <w:tblHeader w:val="0"/>
        </w:trPr>
        <w:tc>
          <w:tcPr>
            <w:gridSpan w:val="3"/>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b w:val="1"/>
                <w:rtl w:val="0"/>
              </w:rPr>
              <w:t xml:space="preserve">Research Questions, Management Challenges, and Opportunities Identified</w:t>
            </w:r>
            <w:r w:rsidDel="00000000" w:rsidR="00000000" w:rsidRPr="00000000">
              <w:rPr>
                <w:rFonts w:ascii="Arial" w:cs="Arial" w:eastAsia="Arial" w:hAnsi="Arial"/>
                <w:rtl w:val="0"/>
              </w:rPr>
              <w:t xml:space="preserve">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b w:val="1"/>
                <w:rtl w:val="0"/>
              </w:rPr>
              <w:t xml:space="preserve">Research Needs</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How to implement, maintain, measure impact, and navigate regulations.   </w:t>
            </w:r>
          </w:p>
        </w:tc>
      </w:tr>
    </w:tbl>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 </w:t>
      </w:r>
    </w:p>
    <w:tbl>
      <w:tblPr>
        <w:tblStyle w:val="Table7"/>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025"/>
        <w:gridCol w:w="4710"/>
        <w:gridCol w:w="2610"/>
        <w:tblGridChange w:id="0">
          <w:tblGrid>
            <w:gridCol w:w="2025"/>
            <w:gridCol w:w="4710"/>
            <w:gridCol w:w="2610"/>
          </w:tblGrid>
        </w:tblGridChange>
      </w:tblGrid>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b w:val="1"/>
                <w:rtl w:val="0"/>
              </w:rPr>
              <w:t xml:space="preserve">Event Title</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d9e2f3" w:val="cle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w:t>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i w:val="1"/>
                <w:rtl w:val="0"/>
              </w:rPr>
              <w:t xml:space="preserve">Fire as a Tool for Grassland Restoration and Management</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November 9th, 2021 </w:t>
            </w:r>
          </w:p>
        </w:tc>
      </w:tr>
      <w:tr>
        <w:trPr>
          <w:cantSplit w:val="0"/>
          <w:trHeight w:val="17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b w:val="1"/>
                <w:rtl w:val="0"/>
              </w:rPr>
              <w:t xml:space="preserve">Event Summary</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This webinar featured presentations from Steven "Steve" Sesnie, Scott Collins, and Jeffery "Jeff" Adams. After the three presentations, panelists and participants use the content of the presentations to discuss fire in grasslands across the Southwest. Steve Sesnie discusses the use of fire at Buenos Aires National Wildlife Refuge in southeastern Arizona to improve habitat conditions for the Masked Bobwhite Quail, Scott Collins shared results from an experiment about the different vegetation response to fire in different seasons at Sevilleta National Wildlife Refuge in the Chihuahuan grasslands of New Mexico. Jeffery Adams discussed challenges and lessons learned about using prescribed fire to meet management objectives, and the need for science, adaptive management, and dialogue to develop Best Management Practices for fire in Southwestern grasslands. </w:t>
            </w:r>
          </w:p>
        </w:tc>
      </w:tr>
      <w:tr>
        <w:trPr>
          <w:cantSplit w:val="0"/>
          <w:trHeight w:val="450" w:hRule="atLeast"/>
          <w:tblHeader w:val="0"/>
        </w:trPr>
        <w:tc>
          <w:tcPr>
            <w:gridSpan w:val="3"/>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rtl w:val="0"/>
              </w:rPr>
              <w:t xml:space="preserve">Research Questions, Management Challenges, and Opportunities Identified</w:t>
            </w:r>
            <w:r w:rsidDel="00000000" w:rsidR="00000000" w:rsidRPr="00000000">
              <w:rPr>
                <w:rFonts w:ascii="Arial" w:cs="Arial" w:eastAsia="Arial" w:hAnsi="Arial"/>
                <w:rtl w:val="0"/>
              </w:rPr>
              <w:t xml:space="preserve">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b w:val="1"/>
                <w:rtl w:val="0"/>
              </w:rPr>
              <w:t xml:space="preserve">Research Need</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Research to find optimal seasonality and frequency of burns to benefit desired species.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b w:val="1"/>
                <w:rtl w:val="0"/>
              </w:rPr>
              <w:t xml:space="preserve">Management Need</w:t>
            </w: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Tools that can help to prioritize when and where to burn during increasingly short burn windows (fall and winter) to optimize wildlife connectivity and linkages.   </w:t>
            </w:r>
          </w:p>
        </w:tc>
      </w:tr>
    </w:tbl>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5">
      <w:pPr>
        <w:rPr>
          <w:rFonts w:ascii="Arial" w:cs="Arial" w:eastAsia="Arial" w:hAnsi="Arial"/>
        </w:rPr>
      </w:pPr>
      <w:r w:rsidDel="00000000" w:rsidR="00000000" w:rsidRPr="00000000">
        <w:rPr>
          <w:rtl w:val="0"/>
        </w:rPr>
      </w:r>
    </w:p>
    <w:tbl>
      <w:tblPr>
        <w:tblStyle w:val="Table8"/>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60"/>
        <w:gridCol w:w="4590"/>
        <w:gridCol w:w="2610"/>
        <w:tblGridChange w:id="0">
          <w:tblGrid>
            <w:gridCol w:w="2160"/>
            <w:gridCol w:w="4590"/>
            <w:gridCol w:w="2610"/>
          </w:tblGrid>
        </w:tblGridChange>
      </w:tblGrid>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b w:val="1"/>
                <w:rtl w:val="0"/>
              </w:rPr>
              <w:t xml:space="preserve">Event Title</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d9e2f3" w:val="cle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w:t>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i w:val="1"/>
                <w:rtl w:val="0"/>
              </w:rPr>
              <w:t xml:space="preserve">Tools for Drought and an Online Rangeland Library Toolbox</w:t>
            </w:r>
            <w:r w:rsidDel="00000000" w:rsidR="00000000" w:rsidRPr="00000000">
              <w:rPr>
                <w:rFonts w:ascii="Arial" w:cs="Arial" w:eastAsia="Arial" w:hAnsi="Arial"/>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September 28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2021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Event Summary</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This webinar was the second of two panel discussions about grassland decision-support tools. The four speakers; John Bradford, Liz Delcamp, Anne Gondor, and Tonya Haigh; highlight tools for managing and restoring grasslands in the face of drought as well as an online library and toolbox about rangeland management and restoration. Tools included: Short-term Drought Forecaster Tool, Rangelands Gateway Library, and the Ranch Tool and Guide’s Managing Drought Risk. </w:t>
            </w:r>
          </w:p>
        </w:tc>
      </w:tr>
      <w:tr>
        <w:trPr>
          <w:cantSplit w:val="0"/>
          <w:trHeight w:val="435" w:hRule="atLeast"/>
          <w:tblHeader w:val="0"/>
        </w:trPr>
        <w:tc>
          <w:tcPr>
            <w:gridSpan w:val="3"/>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b w:val="1"/>
                <w:rtl w:val="0"/>
              </w:rPr>
              <w:t xml:space="preserve">Research Questions, Management Challenges, and Opportunities Identified</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b w:val="1"/>
                <w:rtl w:val="0"/>
              </w:rPr>
              <w:t xml:space="preserve">Collaboration Opportunity</w:t>
            </w:r>
            <w:r w:rsidDel="00000000" w:rsidR="00000000" w:rsidRPr="00000000">
              <w:rPr>
                <w:rFonts w:ascii="Arial" w:cs="Arial" w:eastAsia="Arial" w:hAnsi="Arial"/>
                <w:rtl w:val="0"/>
              </w:rPr>
              <w:t xml:space="preserve"> </w:t>
            </w:r>
          </w:p>
        </w:tc>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Pima County using USGS Drought Forecast and other predictive tools to look at future conditions. </w:t>
            </w:r>
          </w:p>
        </w:tc>
      </w:tr>
    </w:tbl>
    <w:p w:rsidR="00000000" w:rsidDel="00000000" w:rsidP="00000000" w:rsidRDefault="00000000" w:rsidRPr="00000000" w14:paraId="000000A5">
      <w:pPr>
        <w:pStyle w:val="Heading3"/>
        <w:rPr>
          <w:rFonts w:ascii="Arial" w:cs="Arial" w:eastAsia="Arial" w:hAnsi="Arial"/>
        </w:rPr>
      </w:pPr>
      <w:r w:rsidDel="00000000" w:rsidR="00000000" w:rsidRPr="00000000">
        <w:rPr>
          <w:rFonts w:ascii="Arial" w:cs="Arial" w:eastAsia="Arial" w:hAnsi="Arial"/>
          <w:rtl w:val="0"/>
        </w:rPr>
        <w:t xml:space="preserve">Additional Insights from Community of Practice Participants </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CART’s Grasslands Community of Practice provides an opportunity for a variety of one on one, small and large group discussions around grasslands managers, researchers, and practitioners. From these discussions, several additional research questions, management challenges, and opportunities for future work/research were identified, including:  </w:t>
      </w:r>
    </w:p>
    <w:tbl>
      <w:tblPr>
        <w:tblStyle w:val="Table9"/>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45"/>
        <w:gridCol w:w="7515"/>
        <w:tblGridChange w:id="0">
          <w:tblGrid>
            <w:gridCol w:w="1845"/>
            <w:gridCol w:w="7515"/>
          </w:tblGrid>
        </w:tblGridChange>
      </w:tblGrid>
      <w:tr>
        <w:trPr>
          <w:cantSplit w:val="0"/>
          <w:trHeight w:val="435" w:hRule="atLeast"/>
          <w:tblHeader w:val="0"/>
        </w:trPr>
        <w:tc>
          <w:tcPr>
            <w:gridSpan w:val="2"/>
            <w:tcBorders>
              <w:top w:color="000000" w:space="0" w:sz="6" w:val="single"/>
              <w:left w:color="000000" w:space="0" w:sz="6" w:val="single"/>
              <w:bottom w:color="000000" w:space="0" w:sz="6" w:val="single"/>
              <w:right w:color="000000" w:space="0" w:sz="6" w:val="single"/>
            </w:tcBorders>
            <w:shd w:fill="d9e2f3" w:val="cle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b w:val="1"/>
                <w:rtl w:val="0"/>
              </w:rPr>
              <w:t xml:space="preserve">Research Questions, Management Challenges, and Opportunities Identified</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b w:val="1"/>
                <w:rtl w:val="0"/>
              </w:rPr>
              <w:t xml:space="preserve">Research Question</w:t>
            </w:r>
            <w:r w:rsidDel="00000000" w:rsidR="00000000" w:rsidRPr="00000000">
              <w:rPr>
                <w:rFonts w:ascii="Arial" w:cs="Arial" w:eastAsia="Arial" w:hAnsi="Arial"/>
                <w:rtl w:val="0"/>
              </w:rPr>
              <w:t xml:space="preserv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Riparian areas and connections to upland areas in terms of erosion, how does what we do in the uplands affect the riparian (erosion control structures, brush management, etc)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b w:val="1"/>
                <w:rtl w:val="0"/>
              </w:rPr>
              <w:t xml:space="preserve">Research Question</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Assessing the impacts of different types of brush management or climate adaptation strategies in semi-arid grassland system, even a research synthesis would be neat.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b w:val="1"/>
                <w:rtl w:val="0"/>
              </w:rPr>
              <w:t xml:space="preserve">Collaboration Opportunity</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Opportunity to plug into the Grasslands Adaptation Menu that’s coming out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b w:val="1"/>
                <w:rtl w:val="0"/>
              </w:rPr>
              <w:t xml:space="preserve">Research Question</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How does changes in canopy cover impact stream flow. Does an increase in woody plant material reduce stream flow? Analyze changes in percent cover, precipitation, etc.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b w:val="1"/>
                <w:rtl w:val="0"/>
              </w:rPr>
              <w:t xml:space="preserve">Research Question</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CoP participants have highlighted specific gaps in knowledge and policy barriers that prevent scaling of mesquite management on a landscape scale. Specifically, recent research about climate impacts on grasslands is not yet usable by grassland managers. Furthermore, the long-term effectiveness of individual, and sequential combinations of treatments, remains variable and their costs, and long-term benefits for multiple species and resource areas are poorly understood.   </w:t>
            </w:r>
          </w:p>
        </w:tc>
      </w:tr>
    </w:tbl>
    <w:p w:rsidR="00000000" w:rsidDel="00000000" w:rsidP="00000000" w:rsidRDefault="00000000" w:rsidRPr="00000000" w14:paraId="000000B3">
      <w:pPr>
        <w:rPr>
          <w:rFonts w:ascii="Arial" w:cs="Arial" w:eastAsia="Arial" w:hAnsi="Arial"/>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360.0" w:type="dxa"/>
      <w:jc w:val="left"/>
      <w:tblInd w:w="-115.0" w:type="dxa"/>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right="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360.0" w:type="dxa"/>
      <w:jc w:val="left"/>
      <w:tblInd w:w="-115.0" w:type="dxa"/>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0F1E70"/>
  </w:style>
  <w:style w:type="paragraph" w:styleId="Heading1">
    <w:name w:val="heading 1"/>
    <w:basedOn w:val="Normal"/>
    <w:next w:val="Normal"/>
    <w:link w:val="Heading1Char"/>
    <w:uiPriority w:val="9"/>
    <w:qFormat w:val="1"/>
    <w:rsid w:val="003A272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A272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A272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A272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A272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A272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A27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A27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A27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E58B6"/>
    <w:pPr>
      <w:spacing w:after="0" w:line="240" w:lineRule="auto"/>
    </w:pPr>
    <w:rPr>
      <w:rFonts w:ascii="Quire Sans Light" w:hAnsi="Quire Sans Light"/>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rFonts w:ascii="Quire Sans Light" w:hAnsi="Quire Sans Light"/>
        <w:sz w:val="44"/>
      </w:rPr>
    </w:tblStylePr>
    <w:tblStylePr w:type="firstCol">
      <w:rPr>
        <w:rFonts w:ascii="Quire Sans Light" w:hAnsi="Quire Sans Light"/>
        <w:sz w:val="28"/>
      </w:rPr>
    </w:tblStylePr>
  </w:style>
  <w:style w:type="character" w:styleId="Heading1Char" w:customStyle="1">
    <w:name w:val="Heading 1 Char"/>
    <w:basedOn w:val="DefaultParagraphFont"/>
    <w:link w:val="Heading1"/>
    <w:uiPriority w:val="9"/>
    <w:rsid w:val="003A272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A272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A272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A272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A272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A27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A27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A27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A272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A272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A272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A272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A27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A27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A2721"/>
    <w:rPr>
      <w:i w:val="1"/>
      <w:iCs w:val="1"/>
      <w:color w:val="404040" w:themeColor="text1" w:themeTint="0000BF"/>
    </w:rPr>
  </w:style>
  <w:style w:type="paragraph" w:styleId="ListParagraph">
    <w:name w:val="List Paragraph"/>
    <w:basedOn w:val="Normal"/>
    <w:uiPriority w:val="34"/>
    <w:qFormat w:val="1"/>
    <w:rsid w:val="003A2721"/>
    <w:pPr>
      <w:ind w:left="720"/>
      <w:contextualSpacing w:val="1"/>
    </w:pPr>
  </w:style>
  <w:style w:type="character" w:styleId="IntenseEmphasis">
    <w:name w:val="Intense Emphasis"/>
    <w:basedOn w:val="DefaultParagraphFont"/>
    <w:uiPriority w:val="21"/>
    <w:qFormat w:val="1"/>
    <w:rsid w:val="003A2721"/>
    <w:rPr>
      <w:i w:val="1"/>
      <w:iCs w:val="1"/>
      <w:color w:val="0f4761" w:themeColor="accent1" w:themeShade="0000BF"/>
    </w:rPr>
  </w:style>
  <w:style w:type="paragraph" w:styleId="IntenseQuote">
    <w:name w:val="Intense Quote"/>
    <w:basedOn w:val="Normal"/>
    <w:next w:val="Normal"/>
    <w:link w:val="IntenseQuoteChar"/>
    <w:uiPriority w:val="30"/>
    <w:qFormat w:val="1"/>
    <w:rsid w:val="003A27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A2721"/>
    <w:rPr>
      <w:i w:val="1"/>
      <w:iCs w:val="1"/>
      <w:color w:val="0f4761" w:themeColor="accent1" w:themeShade="0000BF"/>
    </w:rPr>
  </w:style>
  <w:style w:type="character" w:styleId="IntenseReference">
    <w:name w:val="Intense Reference"/>
    <w:basedOn w:val="DefaultParagraphFont"/>
    <w:uiPriority w:val="32"/>
    <w:qFormat w:val="1"/>
    <w:rsid w:val="003A2721"/>
    <w:rPr>
      <w:b w:val="1"/>
      <w:bCs w:val="1"/>
      <w:smallCaps w:val="1"/>
      <w:color w:val="0f4761" w:themeColor="accent1" w:themeShade="0000BF"/>
      <w:spacing w:val="5"/>
    </w:rPr>
  </w:style>
  <w:style w:type="character" w:styleId="Hyperlink">
    <w:name w:val="Hyperlink"/>
    <w:basedOn w:val="DefaultParagraphFont"/>
    <w:uiPriority w:val="99"/>
    <w:unhideWhenUsed w:val="1"/>
    <w:rsid w:val="003A2721"/>
    <w:rPr>
      <w:color w:val="467886" w:themeColor="hyperlink"/>
      <w:u w:val="single"/>
    </w:rPr>
  </w:style>
  <w:style w:type="character" w:styleId="UnresolvedMention">
    <w:name w:val="Unresolved Mention"/>
    <w:basedOn w:val="DefaultParagraphFont"/>
    <w:uiPriority w:val="99"/>
    <w:semiHidden w:val="1"/>
    <w:unhideWhenUsed w:val="1"/>
    <w:rsid w:val="003A2721"/>
    <w:rPr>
      <w:color w:val="605e5c"/>
      <w:shd w:color="auto" w:fill="e1dfdd" w:val="clear"/>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rMsRcWUIqn3MCOn7_1ESYox6BUjh10_p/view?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doClHdGKJ4mlMige4wIiR43gg==">CgMxLjA4AHIhMXlyRTI5NHJ6ZGFiR2VTVGVRNUJINXFDNFViRGFxZzF2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2025-02-21T20:07:00Z</dcterms:created>
  <dc:creator>Ross-Winslow, Danielle 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0x01010088E81B8DE81602458557DD15B43E0F43</vt:lpwstr>
  </property>
  <property fmtid="{D5CDD505-2E9C-101B-9397-08002B2CF9AE}" pid="3" name="MediaServiceImageTags">
    <vt:lpwstr/>
  </property>
</Properties>
</file>